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bookmarkStart w:id="0" w:name="_GoBack"/>
      <w:bookmarkEnd w:id="0"/>
    </w:p>
    <w:p w14:paraId="3001EDD7" w14:textId="7D9CBFC3"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00C54EF7">
        <w:rPr>
          <w:rFonts w:ascii="Calibri" w:hAnsi="Calibri" w:cs="Calibri"/>
          <w:sz w:val="24"/>
          <w:szCs w:val="24"/>
        </w:rPr>
        <w:t>nº 05/2026</w:t>
      </w:r>
      <w:r w:rsidRPr="00C54EF7">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52D90" w14:textId="77777777" w:rsidR="00BB4119" w:rsidRDefault="00BB4119" w:rsidP="008D205C">
      <w:pPr>
        <w:spacing w:line="240" w:lineRule="auto"/>
      </w:pPr>
      <w:r>
        <w:separator/>
      </w:r>
    </w:p>
  </w:endnote>
  <w:endnote w:type="continuationSeparator" w:id="0">
    <w:p w14:paraId="1C16E316" w14:textId="77777777" w:rsidR="00BB4119" w:rsidRDefault="00BB4119"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59A" w14:textId="05EBEDEC" w:rsidR="008D205C" w:rsidRDefault="008D205C" w:rsidP="008D205C">
    <w:pPr>
      <w:pStyle w:val="Rodap"/>
      <w:jc w:val="center"/>
    </w:pPr>
    <w:r>
      <w:rPr>
        <w:noProof/>
        <w:lang w:eastAsia="pt-BR"/>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F2E5B" w14:textId="77777777" w:rsidR="00BB4119" w:rsidRDefault="00BB4119" w:rsidP="008D205C">
      <w:pPr>
        <w:spacing w:line="240" w:lineRule="auto"/>
      </w:pPr>
      <w:r>
        <w:separator/>
      </w:r>
    </w:p>
  </w:footnote>
  <w:footnote w:type="continuationSeparator" w:id="0">
    <w:p w14:paraId="7C85986A" w14:textId="77777777" w:rsidR="00BB4119" w:rsidRDefault="00BB4119" w:rsidP="008D20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7A6" w14:textId="25C2DB90" w:rsidR="008D205C" w:rsidRDefault="00C54EF7" w:rsidP="008D205C">
    <w:pPr>
      <w:pStyle w:val="Cabealho"/>
      <w:jc w:val="center"/>
    </w:pPr>
    <w:r w:rsidRPr="00092905">
      <w:rPr>
        <w:noProof/>
      </w:rPr>
      <w:drawing>
        <wp:anchor distT="0" distB="0" distL="114300" distR="114300" simplePos="0" relativeHeight="251661312" behindDoc="0" locked="0" layoutInCell="1" allowOverlap="1" wp14:anchorId="3F6DEF84" wp14:editId="5C359371">
          <wp:simplePos x="0" y="0"/>
          <wp:positionH relativeFrom="column">
            <wp:posOffset>-523875</wp:posOffset>
          </wp:positionH>
          <wp:positionV relativeFrom="paragraph">
            <wp:posOffset>-194945</wp:posOffset>
          </wp:positionV>
          <wp:extent cx="2695575" cy="640216"/>
          <wp:effectExtent l="0" t="0" r="0" b="0"/>
          <wp:wrapNone/>
          <wp:docPr id="32" name="Imagem 32" descr="C:\Users\Jean\AppData\Local\Microsoft\Windows\INetCache\Content.Word\Logo Cultur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AppData\Local\Microsoft\Windows\INetCache\Content.Word\Logo Cultura-0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575" cy="640216"/>
                  </a:xfrm>
                  <a:prstGeom prst="rect">
                    <a:avLst/>
                  </a:prstGeom>
                  <a:noFill/>
                  <a:ln>
                    <a:noFill/>
                  </a:ln>
                </pic:spPr>
              </pic:pic>
            </a:graphicData>
          </a:graphic>
          <wp14:sizeRelH relativeFrom="page">
            <wp14:pctWidth>0</wp14:pctWidth>
          </wp14:sizeRelH>
          <wp14:sizeRelV relativeFrom="page">
            <wp14:pctHeight>0</wp14:pctHeight>
          </wp14:sizeRelV>
        </wp:anchor>
      </w:drawing>
    </w:r>
    <w:r w:rsidR="008D205C">
      <w:rPr>
        <w:noProof/>
        <w:lang w:eastAsia="pt-BR"/>
      </w:rPr>
      <w:drawing>
        <wp:anchor distT="0" distB="0" distL="114300" distR="114300" simplePos="0" relativeHeight="251659264" behindDoc="0" locked="0" layoutInCell="1" allowOverlap="1" wp14:anchorId="09143712" wp14:editId="574FA6E7">
          <wp:simplePos x="0" y="0"/>
          <wp:positionH relativeFrom="column">
            <wp:posOffset>3301365</wp:posOffset>
          </wp:positionH>
          <wp:positionV relativeFrom="paragraph">
            <wp:posOffset>-152400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2655FA"/>
    <w:rsid w:val="00380194"/>
    <w:rsid w:val="003E360E"/>
    <w:rsid w:val="0042073A"/>
    <w:rsid w:val="004840B4"/>
    <w:rsid w:val="00644DE5"/>
    <w:rsid w:val="008D205C"/>
    <w:rsid w:val="00924003"/>
    <w:rsid w:val="00A6295A"/>
    <w:rsid w:val="00B83FAF"/>
    <w:rsid w:val="00BB4119"/>
    <w:rsid w:val="00C1150E"/>
    <w:rsid w:val="00C54EF7"/>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2444</Words>
  <Characters>13202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Conta da Microsoft</cp:lastModifiedBy>
  <cp:revision>3</cp:revision>
  <dcterms:created xsi:type="dcterms:W3CDTF">2025-12-09T14:28:00Z</dcterms:created>
  <dcterms:modified xsi:type="dcterms:W3CDTF">2026-03-31T20:26:00Z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